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E3" w:rsidRPr="00784025"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r w:rsidRPr="00784025">
        <w:rPr>
          <w:rStyle w:val="A4"/>
          <w:rFonts w:asciiTheme="majorBidi" w:hAnsiTheme="majorBidi" w:cstheme="majorBidi"/>
          <w:b/>
          <w:sz w:val="28"/>
          <w:szCs w:val="28"/>
          <w:lang w:bidi="fr-FR"/>
        </w:rPr>
        <w:t>Ali HASAN</w:t>
      </w:r>
    </w:p>
    <w:p w:rsidR="008D7DE3" w:rsidRPr="00764FB0" w:rsidRDefault="008D7DE3" w:rsidP="008D7DE3">
      <w:pPr>
        <w:widowControl w:val="0"/>
        <w:autoSpaceDE w:val="0"/>
        <w:autoSpaceDN w:val="0"/>
        <w:adjustRightInd w:val="0"/>
        <w:jc w:val="center"/>
        <w:rPr>
          <w:rStyle w:val="A4"/>
          <w:rFonts w:asciiTheme="majorBidi" w:hAnsiTheme="majorBidi" w:cstheme="majorBidi"/>
          <w:bCs/>
          <w:sz w:val="28"/>
          <w:szCs w:val="28"/>
          <w:lang w:bidi="fr-FR"/>
        </w:rPr>
      </w:pPr>
      <w:r w:rsidRPr="00764FB0">
        <w:rPr>
          <w:rStyle w:val="A4"/>
          <w:rFonts w:asciiTheme="majorBidi" w:hAnsiTheme="majorBidi" w:cstheme="majorBidi"/>
          <w:bCs/>
          <w:sz w:val="28"/>
          <w:szCs w:val="28"/>
          <w:lang w:bidi="fr-FR"/>
        </w:rPr>
        <w:t>Docteur en urbanisme et aménagement du territoire/Architecte-urbaniste</w:t>
      </w:r>
    </w:p>
    <w:p w:rsidR="008D7DE3" w:rsidRPr="00764FB0" w:rsidRDefault="008D7DE3" w:rsidP="008D7DE3">
      <w:pPr>
        <w:widowControl w:val="0"/>
        <w:autoSpaceDE w:val="0"/>
        <w:autoSpaceDN w:val="0"/>
        <w:adjustRightInd w:val="0"/>
        <w:jc w:val="center"/>
        <w:rPr>
          <w:rStyle w:val="A4"/>
          <w:rFonts w:asciiTheme="majorBidi" w:hAnsiTheme="majorBidi" w:cstheme="majorBidi"/>
          <w:bCs/>
          <w:sz w:val="28"/>
          <w:szCs w:val="28"/>
          <w:lang w:bidi="fr-FR"/>
        </w:rPr>
      </w:pPr>
      <w:r w:rsidRPr="00764FB0">
        <w:rPr>
          <w:rStyle w:val="A4"/>
          <w:rFonts w:asciiTheme="majorBidi" w:hAnsiTheme="majorBidi" w:cstheme="majorBidi"/>
          <w:bCs/>
          <w:sz w:val="28"/>
          <w:szCs w:val="28"/>
          <w:lang w:bidi="fr-FR"/>
        </w:rPr>
        <w:t>Ingénieur de recherche-chargé d’enseignements</w:t>
      </w:r>
    </w:p>
    <w:p w:rsidR="008D7DE3" w:rsidRPr="001E57B3" w:rsidRDefault="00E66FB6" w:rsidP="008D7DE3">
      <w:pPr>
        <w:pStyle w:val="NormalWeb"/>
        <w:spacing w:before="0" w:beforeAutospacing="0" w:after="0" w:line="360" w:lineRule="auto"/>
        <w:jc w:val="center"/>
        <w:rPr>
          <w:rStyle w:val="A4"/>
          <w:rFonts w:asciiTheme="majorBidi" w:hAnsiTheme="majorBidi" w:cstheme="majorBidi"/>
          <w:color w:val="2E74B5" w:themeColor="accent1" w:themeShade="BF"/>
          <w:u w:val="single"/>
          <w:lang w:bidi="fr-FR"/>
        </w:rPr>
      </w:pPr>
      <w:hyperlink r:id="rId4" w:history="1">
        <w:r w:rsidR="008D7DE3" w:rsidRPr="001E57B3">
          <w:rPr>
            <w:rStyle w:val="A4"/>
            <w:rFonts w:asciiTheme="majorBidi" w:hAnsiTheme="majorBidi" w:cstheme="majorBidi"/>
            <w:color w:val="2E74B5" w:themeColor="accent1" w:themeShade="BF"/>
            <w:u w:val="single"/>
            <w:lang w:bidi="fr-FR"/>
          </w:rPr>
          <w:t>ali.hasan@enpc.fr</w:t>
        </w:r>
      </w:hyperlink>
      <w:r w:rsidR="008D7DE3" w:rsidRPr="001E57B3">
        <w:rPr>
          <w:rStyle w:val="A4"/>
          <w:rFonts w:asciiTheme="majorBidi" w:hAnsiTheme="majorBidi" w:cstheme="majorBidi"/>
          <w:color w:val="2E74B5" w:themeColor="accent1" w:themeShade="BF"/>
          <w:u w:val="single"/>
          <w:lang w:bidi="fr-FR"/>
        </w:rPr>
        <w:t xml:space="preserve"> </w:t>
      </w:r>
    </w:p>
    <w:p w:rsidR="008D7DE3" w:rsidRDefault="008D7DE3" w:rsidP="008D7DE3">
      <w:pPr>
        <w:pStyle w:val="NormalWeb"/>
        <w:spacing w:before="0" w:beforeAutospacing="0" w:after="0" w:line="360" w:lineRule="auto"/>
        <w:jc w:val="center"/>
        <w:rPr>
          <w:rFonts w:asciiTheme="majorBidi" w:hAnsiTheme="majorBidi" w:cstheme="majorBidi"/>
        </w:rPr>
      </w:pPr>
    </w:p>
    <w:p w:rsidR="008D7DE3" w:rsidRPr="001E57B3" w:rsidRDefault="008D7DE3" w:rsidP="008D7DE3">
      <w:pPr>
        <w:pStyle w:val="NormalWeb"/>
        <w:spacing w:before="0" w:beforeAutospacing="0" w:after="0" w:line="360" w:lineRule="auto"/>
        <w:jc w:val="center"/>
        <w:rPr>
          <w:rFonts w:asciiTheme="majorBidi" w:hAnsiTheme="majorBidi" w:cstheme="majorBidi"/>
        </w:rPr>
      </w:pPr>
      <w:r w:rsidRPr="001E57B3">
        <w:rPr>
          <w:rFonts w:asciiTheme="majorBidi" w:hAnsiTheme="majorBidi" w:cstheme="majorBidi"/>
        </w:rPr>
        <w:t xml:space="preserve">Ecole des Ponts </w:t>
      </w:r>
      <w:proofErr w:type="spellStart"/>
      <w:r w:rsidRPr="001E57B3">
        <w:rPr>
          <w:rFonts w:asciiTheme="majorBidi" w:hAnsiTheme="majorBidi" w:cstheme="majorBidi"/>
        </w:rPr>
        <w:t>ParisTech</w:t>
      </w:r>
      <w:proofErr w:type="spellEnd"/>
      <w:r>
        <w:rPr>
          <w:rFonts w:asciiTheme="majorBidi" w:hAnsiTheme="majorBidi" w:cstheme="majorBidi"/>
        </w:rPr>
        <w:t xml:space="preserve"> (ENPC)</w:t>
      </w:r>
      <w:r w:rsidRPr="001E57B3">
        <w:rPr>
          <w:rFonts w:asciiTheme="majorBidi" w:hAnsiTheme="majorBidi" w:cstheme="majorBidi"/>
        </w:rPr>
        <w:t>/Laboratoire Ville Mobil</w:t>
      </w:r>
      <w:r>
        <w:rPr>
          <w:rFonts w:asciiTheme="majorBidi" w:hAnsiTheme="majorBidi" w:cstheme="majorBidi"/>
        </w:rPr>
        <w:t>ité Transport (LVMT)/Chaire Gare/Ecole d’Urbanisme de Paris (EUP)</w:t>
      </w:r>
    </w:p>
    <w:p w:rsidR="008D7DE3" w:rsidRDefault="008D7DE3" w:rsidP="00784025">
      <w:pPr>
        <w:widowControl w:val="0"/>
        <w:autoSpaceDE w:val="0"/>
        <w:autoSpaceDN w:val="0"/>
        <w:adjustRightInd w:val="0"/>
        <w:jc w:val="center"/>
        <w:rPr>
          <w:rStyle w:val="A4"/>
          <w:rFonts w:asciiTheme="majorBidi" w:hAnsiTheme="majorBidi" w:cstheme="majorBidi"/>
          <w:b/>
          <w:sz w:val="28"/>
          <w:szCs w:val="28"/>
          <w:lang w:bidi="fr-FR"/>
        </w:rPr>
      </w:pPr>
    </w:p>
    <w:p w:rsidR="00784025" w:rsidRDefault="00784025" w:rsidP="00784025">
      <w:pPr>
        <w:widowControl w:val="0"/>
        <w:autoSpaceDE w:val="0"/>
        <w:autoSpaceDN w:val="0"/>
        <w:adjustRightInd w:val="0"/>
        <w:jc w:val="center"/>
        <w:rPr>
          <w:rStyle w:val="A4"/>
          <w:rFonts w:asciiTheme="majorBidi" w:hAnsiTheme="majorBidi" w:cstheme="majorBidi"/>
          <w:b/>
          <w:sz w:val="28"/>
          <w:szCs w:val="28"/>
          <w:lang w:bidi="fr-FR"/>
        </w:rPr>
      </w:pPr>
    </w:p>
    <w:p w:rsidR="00784025" w:rsidRDefault="00784025" w:rsidP="00784025">
      <w:pPr>
        <w:widowControl w:val="0"/>
        <w:autoSpaceDE w:val="0"/>
        <w:autoSpaceDN w:val="0"/>
        <w:adjustRightInd w:val="0"/>
        <w:jc w:val="center"/>
        <w:rPr>
          <w:rStyle w:val="A4"/>
          <w:rFonts w:asciiTheme="majorBidi" w:hAnsiTheme="majorBidi" w:cstheme="majorBidi"/>
          <w:b/>
          <w:sz w:val="24"/>
          <w:szCs w:val="24"/>
          <w:lang w:bidi="fr-FR"/>
        </w:rPr>
      </w:pPr>
    </w:p>
    <w:p w:rsidR="00784025" w:rsidRPr="00764FB0" w:rsidRDefault="00784025" w:rsidP="00784025">
      <w:pPr>
        <w:ind w:left="0" w:right="0"/>
        <w:jc w:val="center"/>
        <w:rPr>
          <w:rStyle w:val="A4"/>
          <w:rFonts w:asciiTheme="majorBidi" w:hAnsiTheme="majorBidi" w:cstheme="majorBidi"/>
          <w:b/>
          <w:sz w:val="40"/>
          <w:szCs w:val="40"/>
          <w:lang w:bidi="fr-FR"/>
        </w:rPr>
      </w:pPr>
      <w:r w:rsidRPr="00764FB0">
        <w:rPr>
          <w:rStyle w:val="A4"/>
          <w:rFonts w:asciiTheme="majorBidi" w:hAnsiTheme="majorBidi" w:cstheme="majorBidi"/>
          <w:b/>
          <w:sz w:val="40"/>
          <w:szCs w:val="40"/>
          <w:lang w:bidi="fr-FR"/>
        </w:rPr>
        <w:t>La place des innovations en matière de numérique au sein des gares</w:t>
      </w: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r>
        <w:rPr>
          <w:rStyle w:val="A4"/>
          <w:rFonts w:asciiTheme="majorBidi" w:hAnsiTheme="majorBidi" w:cstheme="majorBidi"/>
          <w:b/>
          <w:sz w:val="28"/>
          <w:szCs w:val="28"/>
          <w:lang w:bidi="fr-FR"/>
        </w:rPr>
        <w:t xml:space="preserve">Appel à communication </w:t>
      </w: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r>
        <w:rPr>
          <w:rStyle w:val="A4"/>
          <w:rFonts w:asciiTheme="majorBidi" w:hAnsiTheme="majorBidi" w:cstheme="majorBidi"/>
          <w:b/>
          <w:sz w:val="28"/>
          <w:szCs w:val="28"/>
          <w:lang w:bidi="fr-FR"/>
        </w:rPr>
        <w:t>Mobilités et (R</w:t>
      </w:r>
      <w:proofErr w:type="gramStart"/>
      <w:r>
        <w:rPr>
          <w:rStyle w:val="A4"/>
          <w:rFonts w:asciiTheme="majorBidi" w:hAnsiTheme="majorBidi" w:cstheme="majorBidi"/>
          <w:b/>
          <w:sz w:val="28"/>
          <w:szCs w:val="28"/>
          <w:lang w:bidi="fr-FR"/>
        </w:rPr>
        <w:t>)évolution</w:t>
      </w:r>
      <w:proofErr w:type="gramEnd"/>
      <w:r>
        <w:rPr>
          <w:rStyle w:val="A4"/>
          <w:rFonts w:asciiTheme="majorBidi" w:hAnsiTheme="majorBidi" w:cstheme="majorBidi"/>
          <w:b/>
          <w:sz w:val="28"/>
          <w:szCs w:val="28"/>
          <w:lang w:bidi="fr-FR"/>
        </w:rPr>
        <w:t xml:space="preserve"> numérique </w:t>
      </w:r>
    </w:p>
    <w:p w:rsidR="008D7DE3" w:rsidRDefault="008D7DE3" w:rsidP="008D7DE3">
      <w:pPr>
        <w:widowControl w:val="0"/>
        <w:autoSpaceDE w:val="0"/>
        <w:autoSpaceDN w:val="0"/>
        <w:adjustRightInd w:val="0"/>
        <w:jc w:val="center"/>
        <w:rPr>
          <w:rStyle w:val="A4"/>
          <w:rFonts w:asciiTheme="majorBidi" w:hAnsiTheme="majorBidi" w:cstheme="majorBidi"/>
          <w:b/>
          <w:sz w:val="28"/>
          <w:szCs w:val="28"/>
          <w:lang w:bidi="fr-FR"/>
        </w:rPr>
      </w:pPr>
      <w:r>
        <w:rPr>
          <w:rStyle w:val="A4"/>
          <w:rFonts w:asciiTheme="majorBidi" w:hAnsiTheme="majorBidi" w:cstheme="majorBidi"/>
          <w:b/>
          <w:sz w:val="28"/>
          <w:szCs w:val="28"/>
          <w:lang w:bidi="fr-FR"/>
        </w:rPr>
        <w:t>IFSTTAR</w:t>
      </w:r>
    </w:p>
    <w:p w:rsidR="00784025" w:rsidRDefault="00784025" w:rsidP="00784025">
      <w:pPr>
        <w:widowControl w:val="0"/>
        <w:autoSpaceDE w:val="0"/>
        <w:autoSpaceDN w:val="0"/>
        <w:adjustRightInd w:val="0"/>
        <w:jc w:val="center"/>
        <w:rPr>
          <w:rStyle w:val="A4"/>
          <w:rFonts w:asciiTheme="majorBidi" w:hAnsiTheme="majorBidi" w:cstheme="majorBidi"/>
          <w:b/>
          <w:sz w:val="24"/>
          <w:szCs w:val="24"/>
          <w:lang w:bidi="fr-FR"/>
        </w:rPr>
      </w:pPr>
    </w:p>
    <w:p w:rsidR="00784025" w:rsidRDefault="00784025" w:rsidP="00784025">
      <w:pPr>
        <w:widowControl w:val="0"/>
        <w:autoSpaceDE w:val="0"/>
        <w:autoSpaceDN w:val="0"/>
        <w:adjustRightInd w:val="0"/>
        <w:jc w:val="center"/>
        <w:rPr>
          <w:rStyle w:val="A4"/>
          <w:rFonts w:asciiTheme="majorBidi" w:hAnsiTheme="majorBidi" w:cstheme="majorBidi"/>
          <w:b/>
          <w:sz w:val="24"/>
          <w:szCs w:val="24"/>
          <w:lang w:bidi="fr-FR"/>
        </w:rPr>
      </w:pPr>
    </w:p>
    <w:p w:rsidR="00784025" w:rsidRPr="00764FB0" w:rsidRDefault="00784025" w:rsidP="008D7DE3">
      <w:pPr>
        <w:pStyle w:val="NormalWeb"/>
        <w:spacing w:before="0" w:beforeAutospacing="0" w:after="0" w:line="360" w:lineRule="auto"/>
        <w:jc w:val="center"/>
        <w:rPr>
          <w:rFonts w:asciiTheme="majorBidi" w:hAnsiTheme="majorBidi" w:cstheme="majorBidi"/>
          <w:sz w:val="28"/>
          <w:szCs w:val="28"/>
        </w:rPr>
      </w:pPr>
      <w:r w:rsidRPr="00764FB0">
        <w:rPr>
          <w:rFonts w:asciiTheme="majorBidi" w:hAnsiTheme="majorBidi" w:cstheme="majorBidi"/>
          <w:sz w:val="28"/>
          <w:szCs w:val="28"/>
        </w:rPr>
        <w:t>Juin 2016</w:t>
      </w:r>
    </w:p>
    <w:p w:rsidR="00612195" w:rsidRDefault="00612195"/>
    <w:p w:rsidR="00713BF7" w:rsidRDefault="00713BF7"/>
    <w:p w:rsidR="008D7DE3" w:rsidRDefault="008D7DE3"/>
    <w:p w:rsidR="008D7DE3" w:rsidRDefault="00764FB0">
      <w:r>
        <w:rPr>
          <w:noProof/>
          <w:lang w:eastAsia="fr-FR"/>
        </w:rPr>
        <w:drawing>
          <wp:anchor distT="0" distB="0" distL="114300" distR="114300" simplePos="0" relativeHeight="251659264" behindDoc="0" locked="0" layoutInCell="1" allowOverlap="1">
            <wp:simplePos x="0" y="0"/>
            <wp:positionH relativeFrom="column">
              <wp:posOffset>4169410</wp:posOffset>
            </wp:positionH>
            <wp:positionV relativeFrom="paragraph">
              <wp:posOffset>201295</wp:posOffset>
            </wp:positionV>
            <wp:extent cx="1864360" cy="1472565"/>
            <wp:effectExtent l="19050" t="0" r="2540" b="0"/>
            <wp:wrapNone/>
            <wp:docPr id="4" name="Image 4" descr="lvmt_sansS_mar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vmt_sansS_mars08"/>
                    <pic:cNvPicPr>
                      <a:picLocks noChangeAspect="1" noChangeArrowheads="1"/>
                    </pic:cNvPicPr>
                  </pic:nvPicPr>
                  <pic:blipFill>
                    <a:blip r:embed="rId5" cstate="print"/>
                    <a:srcRect/>
                    <a:stretch>
                      <a:fillRect/>
                    </a:stretch>
                  </pic:blipFill>
                  <pic:spPr bwMode="auto">
                    <a:xfrm>
                      <a:off x="0" y="0"/>
                      <a:ext cx="1864360" cy="1472565"/>
                    </a:xfrm>
                    <a:prstGeom prst="rect">
                      <a:avLst/>
                    </a:prstGeom>
                    <a:noFill/>
                    <a:ln w="9525">
                      <a:noFill/>
                      <a:miter lim="800000"/>
                      <a:headEnd/>
                      <a:tailEnd/>
                    </a:ln>
                  </pic:spPr>
                </pic:pic>
              </a:graphicData>
            </a:graphic>
          </wp:anchor>
        </w:drawing>
      </w:r>
      <w:r w:rsidR="008D7DE3">
        <w:rPr>
          <w:noProof/>
          <w:lang w:eastAsia="fr-FR"/>
        </w:rPr>
        <w:drawing>
          <wp:anchor distT="0" distB="0" distL="114300" distR="114300" simplePos="0" relativeHeight="251658240" behindDoc="0" locked="0" layoutInCell="1" allowOverlap="1">
            <wp:simplePos x="0" y="0"/>
            <wp:positionH relativeFrom="column">
              <wp:posOffset>-485775</wp:posOffset>
            </wp:positionH>
            <wp:positionV relativeFrom="paragraph">
              <wp:posOffset>23495</wp:posOffset>
            </wp:positionV>
            <wp:extent cx="2303145" cy="1655445"/>
            <wp:effectExtent l="1905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03145" cy="1655445"/>
                    </a:xfrm>
                    <a:prstGeom prst="rect">
                      <a:avLst/>
                    </a:prstGeom>
                    <a:noFill/>
                    <a:ln w="9525">
                      <a:noFill/>
                      <a:miter lim="800000"/>
                      <a:headEnd/>
                      <a:tailEnd/>
                    </a:ln>
                  </pic:spPr>
                </pic:pic>
              </a:graphicData>
            </a:graphic>
          </wp:anchor>
        </w:drawing>
      </w:r>
    </w:p>
    <w:p w:rsidR="008D7DE3" w:rsidRDefault="008D7DE3"/>
    <w:p w:rsidR="008D7DE3" w:rsidRDefault="008D7DE3"/>
    <w:p w:rsidR="008D7DE3" w:rsidRDefault="008D7DE3"/>
    <w:p w:rsidR="008D7DE3" w:rsidRDefault="008D7DE3"/>
    <w:p w:rsidR="008D7DE3" w:rsidRDefault="008D7DE3"/>
    <w:p w:rsidR="00B73CF3" w:rsidRPr="00030B4F" w:rsidRDefault="00B73CF3" w:rsidP="00B73CF3">
      <w:pPr>
        <w:ind w:left="0" w:right="0"/>
        <w:jc w:val="both"/>
        <w:rPr>
          <w:rFonts w:asciiTheme="minorBidi" w:hAnsiTheme="minorBidi" w:cstheme="minorBidi"/>
          <w:bCs/>
          <w:color w:val="000000"/>
          <w:sz w:val="21"/>
          <w:szCs w:val="21"/>
        </w:rPr>
      </w:pPr>
      <w:r w:rsidRPr="00030B4F">
        <w:rPr>
          <w:rFonts w:asciiTheme="minorBidi" w:hAnsiTheme="minorBidi" w:cstheme="minorBidi"/>
          <w:bCs/>
          <w:color w:val="000000"/>
          <w:sz w:val="21"/>
          <w:szCs w:val="21"/>
        </w:rPr>
        <w:lastRenderedPageBreak/>
        <w:t xml:space="preserve">Nous parlons souvent des nouveaux paradigmes de la mobilité, qu’en est-il de ceux de la gare, lieu de la mobilité par excellence ? </w:t>
      </w:r>
      <w:r w:rsidR="00713BF7" w:rsidRPr="007B1CA5">
        <w:rPr>
          <w:rFonts w:asciiTheme="minorBidi" w:hAnsiTheme="minorBidi" w:cstheme="minorBidi"/>
          <w:color w:val="000000"/>
          <w:sz w:val="21"/>
          <w:szCs w:val="21"/>
        </w:rPr>
        <w:t xml:space="preserve">Le numérique et le digital dans leur dimension innovante interrogent fortement l’espace des gares, leur gestion et leur exploitation. L’innovation ne se résume pas à un objet technique ou à un aspect technologique, elle bouleverse les pratiques, les attentes et les perceptions des acteurs des gares et induit une transformation des lieux et des usages. L’usager est au cœur de cette innovation. </w:t>
      </w:r>
    </w:p>
    <w:p w:rsidR="00713BF7" w:rsidRPr="007B1CA5" w:rsidRDefault="00713BF7" w:rsidP="00B73CF3">
      <w:pPr>
        <w:ind w:left="0" w:right="0"/>
        <w:jc w:val="both"/>
        <w:rPr>
          <w:rFonts w:asciiTheme="minorBidi" w:hAnsiTheme="minorBidi" w:cstheme="minorBidi"/>
          <w:color w:val="000000"/>
          <w:sz w:val="21"/>
          <w:szCs w:val="21"/>
        </w:rPr>
      </w:pPr>
    </w:p>
    <w:p w:rsidR="00713BF7" w:rsidRPr="00D35FD6" w:rsidRDefault="00713BF7" w:rsidP="00D35FD6">
      <w:pPr>
        <w:ind w:left="0" w:right="0"/>
        <w:jc w:val="both"/>
        <w:rPr>
          <w:rFonts w:asciiTheme="minorBidi" w:hAnsiTheme="minorBidi" w:cstheme="minorBidi"/>
          <w:color w:val="000000"/>
          <w:sz w:val="21"/>
          <w:szCs w:val="21"/>
        </w:rPr>
      </w:pPr>
      <w:r w:rsidRPr="007B1CA5">
        <w:rPr>
          <w:rFonts w:asciiTheme="minorBidi" w:hAnsiTheme="minorBidi" w:cstheme="minorBidi"/>
          <w:color w:val="000000"/>
          <w:sz w:val="21"/>
          <w:szCs w:val="21"/>
        </w:rPr>
        <w:t xml:space="preserve">Les gares, tout comme les trains, ne sont pas des objets neufs. Elles sont fortement inscrites dans l’histoire des villes et dans les pratiques sociales. Ces lieux et objets, désormais </w:t>
      </w:r>
      <w:proofErr w:type="spellStart"/>
      <w:r w:rsidRPr="007B1CA5">
        <w:rPr>
          <w:rFonts w:asciiTheme="minorBidi" w:hAnsiTheme="minorBidi" w:cstheme="minorBidi"/>
          <w:color w:val="000000"/>
          <w:sz w:val="21"/>
          <w:szCs w:val="21"/>
        </w:rPr>
        <w:t>transmodaux</w:t>
      </w:r>
      <w:proofErr w:type="spellEnd"/>
      <w:r w:rsidRPr="007B1CA5">
        <w:rPr>
          <w:rFonts w:asciiTheme="minorBidi" w:hAnsiTheme="minorBidi" w:cstheme="minorBidi"/>
          <w:color w:val="000000"/>
          <w:sz w:val="21"/>
          <w:szCs w:val="21"/>
        </w:rPr>
        <w:t xml:space="preserve">, ont fait l’objet d’une transformation de leurs usages sous l’effet  de l’innovation technologique. </w:t>
      </w:r>
      <w:r w:rsidRPr="00D35FD6">
        <w:rPr>
          <w:rFonts w:asciiTheme="minorBidi" w:hAnsiTheme="minorBidi" w:cstheme="minorBidi"/>
          <w:color w:val="000000"/>
          <w:sz w:val="21"/>
          <w:szCs w:val="21"/>
        </w:rPr>
        <w:t xml:space="preserve">Est-ce que cette évolution digitale et numérique ouvre une phase radicalement nouvelle, qui représente une sorte de rupture dans la manière d’envisager la conception, l’usage, la gestion et l’exploitation de ces espaces ? </w:t>
      </w:r>
    </w:p>
    <w:p w:rsidR="00713BF7" w:rsidRDefault="00713BF7" w:rsidP="00D35FD6">
      <w:pPr>
        <w:ind w:left="0" w:right="0"/>
      </w:pPr>
      <w:bookmarkStart w:id="0" w:name="_GoBack"/>
      <w:bookmarkEnd w:id="0"/>
    </w:p>
    <w:p w:rsidR="00713BF7" w:rsidRDefault="00713BF7" w:rsidP="00D35FD6">
      <w:pPr>
        <w:ind w:left="0" w:right="0"/>
        <w:jc w:val="both"/>
        <w:rPr>
          <w:rFonts w:asciiTheme="minorBidi" w:hAnsiTheme="minorBidi" w:cstheme="minorBidi"/>
          <w:color w:val="000000"/>
          <w:sz w:val="21"/>
          <w:szCs w:val="21"/>
        </w:rPr>
      </w:pPr>
      <w:r w:rsidRPr="007B1CA5">
        <w:rPr>
          <w:rFonts w:asciiTheme="minorBidi" w:hAnsiTheme="minorBidi" w:cstheme="minorBidi"/>
          <w:color w:val="000000"/>
          <w:sz w:val="21"/>
          <w:szCs w:val="21"/>
        </w:rPr>
        <w:t xml:space="preserve">Ces innovations doivent assurer le passage d’une gare traditionnelle à une autre digitale, connectée et intelligente afin de faciliter le trajet des passagers en leur permettant de mieux préparer leur voyage, d’optimiser leurs déplacements, de rendre leur temps d’attente plus efficace et agréable, de mieux gérer les flux de voyageurs, de renforcer l’intermodalité et la </w:t>
      </w:r>
      <w:proofErr w:type="spellStart"/>
      <w:r w:rsidRPr="007B1CA5">
        <w:rPr>
          <w:rFonts w:asciiTheme="minorBidi" w:hAnsiTheme="minorBidi" w:cstheme="minorBidi"/>
          <w:color w:val="000000"/>
          <w:sz w:val="21"/>
          <w:szCs w:val="21"/>
        </w:rPr>
        <w:t>transmodalité</w:t>
      </w:r>
      <w:proofErr w:type="spellEnd"/>
      <w:r w:rsidRPr="007B1CA5">
        <w:rPr>
          <w:rFonts w:asciiTheme="minorBidi" w:hAnsiTheme="minorBidi" w:cstheme="minorBidi"/>
          <w:color w:val="000000"/>
          <w:sz w:val="21"/>
          <w:szCs w:val="21"/>
        </w:rPr>
        <w:t xml:space="preserve">. </w:t>
      </w:r>
      <w:r w:rsidR="00BB1651">
        <w:rPr>
          <w:rFonts w:asciiTheme="minorBidi" w:hAnsiTheme="minorBidi" w:cstheme="minorBidi"/>
          <w:color w:val="000000"/>
          <w:sz w:val="21"/>
          <w:szCs w:val="21"/>
        </w:rPr>
        <w:t>Ainsi, peut-on parler d’une Gare à Haut Niveau de Service (GHNS) à l’image du BHNS ou VHNS (Bus ou Vélo à Haut Niveau de Service)</w:t>
      </w:r>
      <w:r w:rsidR="00AE7F9D">
        <w:rPr>
          <w:rFonts w:asciiTheme="minorBidi" w:hAnsiTheme="minorBidi" w:cstheme="minorBidi"/>
          <w:color w:val="000000"/>
          <w:sz w:val="21"/>
          <w:szCs w:val="21"/>
        </w:rPr>
        <w:t> ?</w:t>
      </w:r>
      <w:r w:rsidR="00BB1651">
        <w:rPr>
          <w:rFonts w:asciiTheme="minorBidi" w:hAnsiTheme="minorBidi" w:cstheme="minorBidi"/>
          <w:color w:val="000000"/>
          <w:sz w:val="21"/>
          <w:szCs w:val="21"/>
        </w:rPr>
        <w:t xml:space="preserve"> </w:t>
      </w:r>
      <w:r w:rsidRPr="007B1CA5">
        <w:rPr>
          <w:rFonts w:asciiTheme="minorBidi" w:hAnsiTheme="minorBidi" w:cstheme="minorBidi"/>
          <w:color w:val="000000"/>
          <w:sz w:val="21"/>
          <w:szCs w:val="21"/>
        </w:rPr>
        <w:t xml:space="preserve">La couche numérique a ajouté une nouvelle dimension à la mobilité, car les personnes mobiles sont devenues connectées. Il en résulte de nouveaux rapports à l’espace, au temps, au corps et aux autres non seulement pendant le temps de voyage mais également au sein de la gare. Comment le temps et l’espace se mélangent-ils autour de la nouvelle technologie du numérique ? </w:t>
      </w:r>
    </w:p>
    <w:p w:rsidR="00B73CF3" w:rsidRPr="007B1CA5" w:rsidRDefault="00B73CF3" w:rsidP="00D35FD6">
      <w:pPr>
        <w:ind w:left="0" w:right="0"/>
        <w:jc w:val="both"/>
        <w:rPr>
          <w:rFonts w:asciiTheme="minorBidi" w:hAnsiTheme="minorBidi" w:cstheme="minorBidi"/>
          <w:color w:val="000000"/>
          <w:sz w:val="21"/>
          <w:szCs w:val="21"/>
        </w:rPr>
      </w:pPr>
    </w:p>
    <w:p w:rsidR="00713BF7" w:rsidRDefault="00713BF7" w:rsidP="00D35FD6">
      <w:pPr>
        <w:ind w:left="0" w:right="0"/>
        <w:jc w:val="both"/>
        <w:rPr>
          <w:rFonts w:asciiTheme="minorBidi" w:hAnsiTheme="minorBidi" w:cstheme="minorBidi"/>
          <w:color w:val="000000"/>
          <w:sz w:val="21"/>
          <w:szCs w:val="21"/>
        </w:rPr>
      </w:pPr>
      <w:r w:rsidRPr="007B1CA5">
        <w:rPr>
          <w:rFonts w:asciiTheme="minorBidi" w:hAnsiTheme="minorBidi" w:cstheme="minorBidi"/>
          <w:color w:val="000000"/>
          <w:sz w:val="21"/>
          <w:szCs w:val="21"/>
        </w:rPr>
        <w:t xml:space="preserve">Toutefois, l’apport du numérique ne se limite pas à la gare, à sa </w:t>
      </w:r>
      <w:r w:rsidRPr="00D35FD6">
        <w:rPr>
          <w:rFonts w:asciiTheme="minorBidi" w:hAnsiTheme="minorBidi" w:cstheme="minorBidi"/>
          <w:color w:val="000000"/>
          <w:sz w:val="21"/>
          <w:szCs w:val="21"/>
        </w:rPr>
        <w:t xml:space="preserve">conception et à son aménagement. Il dépasse les frontières de celle-ci et permet à la ville de devenir plus « Smart ». </w:t>
      </w:r>
      <w:r w:rsidRPr="00D35FD6">
        <w:rPr>
          <w:rFonts w:asciiTheme="minorBidi" w:hAnsiTheme="minorBidi" w:cstheme="minorBidi"/>
          <w:bCs/>
          <w:color w:val="000000"/>
          <w:sz w:val="21"/>
          <w:szCs w:val="21"/>
        </w:rPr>
        <w:t xml:space="preserve">Nous nous questionnons sur les formes </w:t>
      </w:r>
      <w:r w:rsidRPr="00F961B2">
        <w:rPr>
          <w:rFonts w:asciiTheme="minorBidi" w:hAnsiTheme="minorBidi" w:cstheme="minorBidi"/>
          <w:color w:val="000000"/>
          <w:sz w:val="21"/>
          <w:szCs w:val="21"/>
        </w:rPr>
        <w:t xml:space="preserve">d’innovation que les gares et les lieux de transit urbain peuvent porter grâce au numérique. </w:t>
      </w:r>
      <w:r w:rsidR="004E1911" w:rsidRPr="007B1CA5">
        <w:rPr>
          <w:rFonts w:asciiTheme="minorBidi" w:hAnsiTheme="minorBidi" w:cstheme="minorBidi"/>
          <w:color w:val="000000"/>
          <w:sz w:val="21"/>
          <w:szCs w:val="21"/>
        </w:rPr>
        <w:t>L’intermodalité est au cœur de cette réflexion. Les stationnements intelligents sont un levier important dans l’organisation de la chaine intermodale tout comme les autres dispositifs de l’autopartage et du covoiturage.</w:t>
      </w:r>
    </w:p>
    <w:p w:rsidR="004E1911" w:rsidRPr="00F961B2" w:rsidRDefault="004E1911" w:rsidP="00D35FD6">
      <w:pPr>
        <w:ind w:left="0" w:right="0"/>
        <w:jc w:val="both"/>
        <w:rPr>
          <w:rFonts w:asciiTheme="minorBidi" w:hAnsiTheme="minorBidi" w:cstheme="minorBidi"/>
          <w:color w:val="000000"/>
          <w:sz w:val="21"/>
          <w:szCs w:val="21"/>
        </w:rPr>
      </w:pPr>
    </w:p>
    <w:p w:rsidR="00F961B2" w:rsidRDefault="00713BF7" w:rsidP="00F870B9">
      <w:pPr>
        <w:ind w:left="0" w:right="0"/>
        <w:jc w:val="both"/>
        <w:rPr>
          <w:rFonts w:asciiTheme="minorBidi" w:hAnsiTheme="minorBidi" w:cstheme="minorBidi"/>
          <w:color w:val="000000"/>
          <w:sz w:val="21"/>
          <w:szCs w:val="21"/>
        </w:rPr>
      </w:pPr>
      <w:r w:rsidRPr="007B1CA5">
        <w:rPr>
          <w:rFonts w:asciiTheme="minorBidi" w:hAnsiTheme="minorBidi" w:cstheme="minorBidi"/>
          <w:color w:val="000000"/>
          <w:sz w:val="21"/>
          <w:szCs w:val="21"/>
        </w:rPr>
        <w:t>Si les moteurs du numérique ont changé nos gares, la prise en compte des facteurs comme la sociabilité, l’égalité et le partage des données entre</w:t>
      </w:r>
      <w:r w:rsidR="00E66FB6">
        <w:rPr>
          <w:rFonts w:asciiTheme="minorBidi" w:hAnsiTheme="minorBidi" w:cstheme="minorBidi"/>
          <w:color w:val="000000"/>
          <w:sz w:val="21"/>
          <w:szCs w:val="21"/>
        </w:rPr>
        <w:t xml:space="preserve"> les différents acteurs, reste</w:t>
      </w:r>
      <w:r w:rsidRPr="007B1CA5">
        <w:rPr>
          <w:rFonts w:asciiTheme="minorBidi" w:hAnsiTheme="minorBidi" w:cstheme="minorBidi"/>
          <w:color w:val="000000"/>
          <w:sz w:val="21"/>
          <w:szCs w:val="21"/>
        </w:rPr>
        <w:t xml:space="preserve"> à affiner. Ainsi, plusieurs freins et points faibles de l’usage du numérique posent autant de questions et méritent d’être traités afin de maximiser la place de ces outils technologiques dans les gares. </w:t>
      </w:r>
    </w:p>
    <w:p w:rsidR="00B853EB" w:rsidRDefault="00B853EB" w:rsidP="00F870B9">
      <w:pPr>
        <w:ind w:left="0" w:right="0"/>
        <w:jc w:val="both"/>
        <w:rPr>
          <w:rFonts w:asciiTheme="minorBidi" w:hAnsiTheme="minorBidi" w:cstheme="minorBidi"/>
          <w:color w:val="000000"/>
          <w:sz w:val="21"/>
          <w:szCs w:val="21"/>
        </w:rPr>
      </w:pPr>
    </w:p>
    <w:p w:rsidR="00F961B2" w:rsidRPr="00AE7F9D" w:rsidRDefault="00D35FD6" w:rsidP="00B521C7">
      <w:pPr>
        <w:ind w:left="0" w:right="0"/>
        <w:jc w:val="both"/>
        <w:rPr>
          <w:rFonts w:asciiTheme="minorBidi" w:hAnsiTheme="minorBidi" w:cstheme="minorBidi"/>
          <w:color w:val="000000"/>
          <w:sz w:val="21"/>
          <w:szCs w:val="21"/>
        </w:rPr>
      </w:pPr>
      <w:r w:rsidRPr="00AE7F9D">
        <w:rPr>
          <w:rFonts w:asciiTheme="minorBidi" w:hAnsiTheme="minorBidi" w:cstheme="minorBidi"/>
          <w:color w:val="000000"/>
          <w:sz w:val="21"/>
          <w:szCs w:val="21"/>
        </w:rPr>
        <w:t xml:space="preserve">Ce travail </w:t>
      </w:r>
      <w:r w:rsidR="00AE7F9D" w:rsidRPr="00AE7F9D">
        <w:rPr>
          <w:rFonts w:asciiTheme="minorBidi" w:hAnsiTheme="minorBidi" w:cstheme="minorBidi"/>
          <w:color w:val="000000"/>
          <w:sz w:val="21"/>
          <w:szCs w:val="21"/>
        </w:rPr>
        <w:t xml:space="preserve">prendra appui </w:t>
      </w:r>
      <w:r w:rsidR="00F961B2" w:rsidRPr="00AE7F9D">
        <w:rPr>
          <w:rFonts w:asciiTheme="minorBidi" w:hAnsiTheme="minorBidi" w:cstheme="minorBidi"/>
          <w:color w:val="000000"/>
          <w:sz w:val="21"/>
          <w:szCs w:val="21"/>
        </w:rPr>
        <w:t>sur le sémi</w:t>
      </w:r>
      <w:r w:rsidR="00B853EB">
        <w:rPr>
          <w:rFonts w:asciiTheme="minorBidi" w:hAnsiTheme="minorBidi" w:cstheme="minorBidi"/>
          <w:color w:val="000000"/>
          <w:sz w:val="21"/>
          <w:szCs w:val="21"/>
        </w:rPr>
        <w:t xml:space="preserve">naire que nous </w:t>
      </w:r>
      <w:r w:rsidR="00F961B2" w:rsidRPr="00AE7F9D">
        <w:rPr>
          <w:rFonts w:asciiTheme="minorBidi" w:hAnsiTheme="minorBidi" w:cstheme="minorBidi"/>
          <w:color w:val="000000"/>
          <w:sz w:val="21"/>
          <w:szCs w:val="21"/>
        </w:rPr>
        <w:t xml:space="preserve">avons organisé à Gares &amp; Connexions </w:t>
      </w:r>
      <w:r w:rsidR="00B853EB">
        <w:rPr>
          <w:rFonts w:asciiTheme="minorBidi" w:hAnsiTheme="minorBidi" w:cstheme="minorBidi"/>
          <w:color w:val="000000"/>
          <w:sz w:val="21"/>
          <w:szCs w:val="21"/>
        </w:rPr>
        <w:t xml:space="preserve">à Paris le 25 janvier 2016 </w:t>
      </w:r>
      <w:r w:rsidR="00F961B2" w:rsidRPr="00AE7F9D">
        <w:rPr>
          <w:rFonts w:asciiTheme="minorBidi" w:hAnsiTheme="minorBidi" w:cstheme="minorBidi"/>
          <w:color w:val="000000"/>
          <w:sz w:val="21"/>
          <w:szCs w:val="21"/>
        </w:rPr>
        <w:t xml:space="preserve">qui a porté sur « Des pratiques numériques mobiles aux transformations digitales des gares ». </w:t>
      </w:r>
    </w:p>
    <w:sectPr w:rsidR="00F961B2" w:rsidRPr="00AE7F9D" w:rsidSect="00B853E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2"/>
  </w:compat>
  <w:rsids>
    <w:rsidRoot w:val="00A0259A"/>
    <w:rsid w:val="00030B4F"/>
    <w:rsid w:val="001E7229"/>
    <w:rsid w:val="004E1911"/>
    <w:rsid w:val="0055147A"/>
    <w:rsid w:val="005E258F"/>
    <w:rsid w:val="00612195"/>
    <w:rsid w:val="00685476"/>
    <w:rsid w:val="00713BF7"/>
    <w:rsid w:val="00764FB0"/>
    <w:rsid w:val="00784025"/>
    <w:rsid w:val="008D7DE3"/>
    <w:rsid w:val="00930926"/>
    <w:rsid w:val="00A0259A"/>
    <w:rsid w:val="00AE7F9D"/>
    <w:rsid w:val="00B521C7"/>
    <w:rsid w:val="00B73CF3"/>
    <w:rsid w:val="00B74782"/>
    <w:rsid w:val="00B853EB"/>
    <w:rsid w:val="00BB1651"/>
    <w:rsid w:val="00D35FD6"/>
    <w:rsid w:val="00D761C3"/>
    <w:rsid w:val="00E66FB6"/>
    <w:rsid w:val="00F870B9"/>
    <w:rsid w:val="00F961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A1116-1694-4F02-9636-D77B38DC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9A"/>
    <w:pPr>
      <w:suppressAutoHyphens/>
      <w:spacing w:after="0" w:line="360" w:lineRule="auto"/>
      <w:ind w:left="-284" w:right="-284"/>
    </w:pPr>
    <w:rPr>
      <w:rFonts w:ascii="Calibri" w:eastAsia="Droid Sans Fallback"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784025"/>
    <w:pPr>
      <w:suppressAutoHyphens w:val="0"/>
      <w:spacing w:before="100" w:beforeAutospacing="1" w:after="119" w:line="240" w:lineRule="auto"/>
      <w:ind w:left="0" w:right="0"/>
    </w:pPr>
    <w:rPr>
      <w:rFonts w:ascii="Arial Unicode MS" w:eastAsia="Arial Unicode MS" w:hAnsi="Arial Unicode MS" w:cs="Arial Unicode MS"/>
      <w:sz w:val="24"/>
      <w:szCs w:val="24"/>
      <w:lang w:eastAsia="fr-FR"/>
    </w:rPr>
  </w:style>
  <w:style w:type="character" w:customStyle="1" w:styleId="A4">
    <w:name w:val="A4"/>
    <w:rsid w:val="00784025"/>
    <w:rPr>
      <w:rFonts w:cs="Myriad Pro"/>
      <w:color w:val="000000"/>
      <w:sz w:val="22"/>
      <w:szCs w:val="22"/>
    </w:rPr>
  </w:style>
  <w:style w:type="paragraph" w:styleId="Textedebulles">
    <w:name w:val="Balloon Text"/>
    <w:basedOn w:val="Normal"/>
    <w:link w:val="TextedebullesCar"/>
    <w:uiPriority w:val="99"/>
    <w:semiHidden/>
    <w:unhideWhenUsed/>
    <w:rsid w:val="008D7DE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DE3"/>
    <w:rPr>
      <w:rFonts w:ascii="Tahoma" w:eastAsia="Droid Sans Fallbac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ali.hasan@enp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HASAN</dc:creator>
  <cp:lastModifiedBy>Ali HASAN</cp:lastModifiedBy>
  <cp:revision>7</cp:revision>
  <dcterms:created xsi:type="dcterms:W3CDTF">2016-06-01T19:01:00Z</dcterms:created>
  <dcterms:modified xsi:type="dcterms:W3CDTF">2016-06-02T12:24:00Z</dcterms:modified>
</cp:coreProperties>
</file>